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ТИПОВЫЕ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архитектурные решения внешнего вида нестационарных объектов по оказанию услуг общественного питания и бытовых услуг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>на территории города Кургана</w:t>
      </w:r>
    </w:p>
    <w:p w:rsidR="007C5ADC" w:rsidRPr="00B546F5" w:rsidRDefault="007C5ADC" w:rsidP="007C5ADC">
      <w:pPr>
        <w:jc w:val="both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pStyle w:val="a5"/>
        <w:shd w:val="clear" w:color="auto" w:fill="FFFFFF"/>
        <w:spacing w:before="0" w:beforeAutospacing="0" w:after="0" w:afterAutospacing="0"/>
        <w:ind w:firstLine="69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РАЗДЕЛ </w:t>
      </w:r>
      <w:r w:rsidRPr="00B546F5">
        <w:rPr>
          <w:rFonts w:ascii="PT Astra Serif" w:hAnsi="PT Astra Serif"/>
          <w:b/>
          <w:sz w:val="28"/>
          <w:szCs w:val="28"/>
          <w:lang w:val="en-US"/>
        </w:rPr>
        <w:t>I</w:t>
      </w:r>
      <w:r w:rsidRPr="00B546F5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546F5">
        <w:rPr>
          <w:rFonts w:ascii="PT Astra Serif" w:hAnsi="PT Astra Serif"/>
          <w:sz w:val="28"/>
          <w:szCs w:val="28"/>
        </w:rPr>
        <w:tab/>
        <w:t xml:space="preserve">1.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Типовые архитектурные решения внешнего вида </w:t>
      </w:r>
      <w:r w:rsidRPr="00B546F5">
        <w:rPr>
          <w:rFonts w:ascii="PT Astra Serif" w:hAnsi="PT Astra Serif"/>
          <w:sz w:val="28"/>
          <w:szCs w:val="28"/>
        </w:rPr>
        <w:t xml:space="preserve">нестационарных объектов по оказанию услуг общественного питания и бытовых услуг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(далее – Типовые решения) </w:t>
      </w:r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разработаны в соответствии с </w:t>
      </w:r>
      <w:hyperlink r:id="rId5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Гражданским кодексом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РФ, Федеральным законом </w:t>
      </w:r>
      <w:hyperlink r:id="rId6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от 06.10.2003 г. №131-ФЗ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решением Курганской городской Думы от 27.03.2019 г. №52 «Об утверждении Правил благоустройства территории города Кургана», постановлением Администрации города Кургана от 28.10.2021 г. №7607 «Об утверждении Положения о порядке размещения нестационарных объектов по оказанию услуг общественного питания и бытовых услуг на территории города Кургана», </w:t>
      </w:r>
      <w:hyperlink r:id="rId7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Уставом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муниципального образования города Кургана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исходя из удобства и функциональности осуществления деятельности в сфере бытового обслуживания и общественного питания, формирования целостного архитектурного облика муниципального образования, повышения комфортности, минимизации расходов хозяйствующего субъекта и простоты оформления.</w:t>
      </w:r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Типовые решения устанавливаются исходя из места размещения </w:t>
      </w:r>
      <w:r w:rsidRPr="00B546F5">
        <w:rPr>
          <w:rFonts w:ascii="PT Astra Serif" w:hAnsi="PT Astra Serif"/>
          <w:sz w:val="28"/>
          <w:szCs w:val="28"/>
        </w:rPr>
        <w:t>нестационарных объектов по оказанию услуг общественного питания и бытовых услуг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на территории города. </w:t>
      </w:r>
      <w:r w:rsidRPr="00B546F5">
        <w:rPr>
          <w:rFonts w:ascii="PT Astra Serif" w:hAnsi="PT Astra Serif" w:cs="PT Astra Serif"/>
          <w:sz w:val="28"/>
          <w:szCs w:val="28"/>
        </w:rPr>
        <w:t>Городские территориальные зоны по деловой активности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определены согласно приложению 1 к </w:t>
      </w:r>
      <w:r w:rsidRPr="00B546F5">
        <w:rPr>
          <w:rFonts w:ascii="PT Astra Serif" w:hAnsi="PT Astra Serif"/>
          <w:sz w:val="28"/>
          <w:szCs w:val="28"/>
        </w:rPr>
        <w:t>типовым архитектурным решениям внешнего вида нестационарных объектов по оказанию услуг общественного питания и бытовых услуг на территории города Кургана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(далее - нестационарные объекты).</w:t>
      </w:r>
    </w:p>
    <w:p w:rsidR="007C5ADC" w:rsidRPr="00B546F5" w:rsidRDefault="007C5ADC" w:rsidP="007C5ADC">
      <w:pPr>
        <w:jc w:val="both"/>
        <w:rPr>
          <w:rFonts w:ascii="PT Astra Serif" w:eastAsia="Arial CYR" w:hAnsi="PT Astra Serif"/>
          <w:kern w:val="28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2. Внешний вид нестационарного объекта подлежит согласованию комиссией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>по размещению нестационарных объектов на территории города Кургана (далее – Комиссия).</w:t>
      </w:r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eastAsia="Arial CYR" w:hAnsi="PT Astra Serif"/>
          <w:kern w:val="28"/>
          <w:sz w:val="28"/>
          <w:szCs w:val="28"/>
        </w:rPr>
        <w:tab/>
        <w:t xml:space="preserve">3. </w:t>
      </w:r>
      <w:r w:rsidRPr="00B546F5">
        <w:rPr>
          <w:rFonts w:ascii="PT Astra Serif" w:hAnsi="PT Astra Serif" w:cs="Arial"/>
          <w:spacing w:val="2"/>
          <w:sz w:val="28"/>
          <w:szCs w:val="28"/>
        </w:rPr>
        <w:t>Допускается разработка индивидуальных архитектурных решений внешнего вида нестационарных объектов, в том числе оформленных в соответствии с условиями франшизы либо составляющих фирменную сеть объектов и имеющих собственную уникальную индивидуализацию.</w:t>
      </w:r>
    </w:p>
    <w:p w:rsidR="007C5ADC" w:rsidRPr="00B546F5" w:rsidRDefault="007C5ADC" w:rsidP="007C5ADC">
      <w:pPr>
        <w:jc w:val="both"/>
        <w:rPr>
          <w:rFonts w:ascii="PT Astra Serif" w:eastAsia="Arial CYR" w:hAnsi="PT Astra Serif"/>
          <w:kern w:val="28"/>
          <w:sz w:val="28"/>
          <w:szCs w:val="28"/>
        </w:rPr>
      </w:pPr>
      <w:r w:rsidRPr="00B546F5">
        <w:rPr>
          <w:rFonts w:ascii="PT Astra Serif" w:eastAsia="Arial CYR" w:hAnsi="PT Astra Serif"/>
          <w:kern w:val="28"/>
          <w:sz w:val="28"/>
          <w:szCs w:val="28"/>
        </w:rPr>
        <w:tab/>
        <w:t xml:space="preserve">Индивидуальные архитектурные решения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внешнего вида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 xml:space="preserve">нестационарных объектов должны соответствовать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комплексному решению существующей архитектурной среды и быть согласованы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 xml:space="preserve">Комиссией. 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4.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Для согласования внешнего вида нестационарного объекта в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Комиссию </w:t>
      </w:r>
      <w:r w:rsidRPr="00B546F5">
        <w:rPr>
          <w:rFonts w:ascii="PT Astra Serif" w:hAnsi="PT Astra Serif" w:cs="Arial"/>
          <w:spacing w:val="2"/>
          <w:sz w:val="28"/>
          <w:szCs w:val="28"/>
        </w:rPr>
        <w:t>предоставляется эскизный проект нестационарного объекта, в состав которого входят: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left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4.1 титульный лист;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lastRenderedPageBreak/>
        <w:t>4.2 текстовая часть - пояснительная записка, содержащая сведения об объекте: местоположение, габаритные размеры, функциональное назначение, описание фасадов и архитектуры нестационарного объекта, варианты освещения;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4.3 графическая часть, включающая: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1) схему генерального плана, выполненную на топографической основе в масштабе 1:500, с указанием линейных привязок к основным элементам территории участка (тротуары, проезжая часть, стены домов, инженерные коммуникации и т.д.);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2) ситуационный план-схему размещения нестационарного объекта на карте населенного пункта;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3) план нестационарного объекта, выполненный в масштабе 1:100, с указанием основных габаритных размеров, мест размещения оборудования снаружи нестационарного объекта;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4)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5) цветное трехмерное изображение нестационарного объекта, вписанное в окружающую среду;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6) материалы </w:t>
      </w:r>
      <w:proofErr w:type="spellStart"/>
      <w:r w:rsidRPr="00B546F5">
        <w:rPr>
          <w:rFonts w:ascii="PT Astra Serif" w:hAnsi="PT Astra Serif" w:cs="Arial"/>
          <w:spacing w:val="2"/>
          <w:sz w:val="28"/>
          <w:szCs w:val="28"/>
        </w:rPr>
        <w:t>фотофиксации</w:t>
      </w:r>
      <w:proofErr w:type="spellEnd"/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 территории участка до начала работ по установке нового нестационарного объекта.</w:t>
      </w:r>
    </w:p>
    <w:p w:rsidR="007C5ADC" w:rsidRPr="00B546F5" w:rsidRDefault="007C5ADC" w:rsidP="007C5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>5. Проект нестационарного объекта должен предусматривать возможность его монтажа только из легких сборных несущих металлических конструкций.</w:t>
      </w:r>
    </w:p>
    <w:p w:rsidR="007C5ADC" w:rsidRPr="00B546F5" w:rsidRDefault="007C5ADC" w:rsidP="007C5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>Для изготовления (модернизации) нестационарного объекта и его отделки должны применяться безопасные материалы. При этом в проектах нестационарного объекта не допускается применение кирпича, блоков, бетона, рулонной и шиферной кровли.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ab/>
        <w:t xml:space="preserve">6.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Типовые решения распространяются на следующие виды </w:t>
      </w:r>
      <w:r w:rsidRPr="00B546F5">
        <w:rPr>
          <w:rFonts w:ascii="PT Astra Serif" w:hAnsi="PT Astra Serif"/>
          <w:sz w:val="28"/>
          <w:szCs w:val="28"/>
        </w:rPr>
        <w:t>нестационарного объекта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: киоск, павильон, которые определены </w:t>
      </w:r>
      <w:r w:rsidRPr="00B546F5">
        <w:rPr>
          <w:rFonts w:ascii="PT Astra Serif" w:hAnsi="PT Astra Serif"/>
          <w:sz w:val="28"/>
          <w:szCs w:val="28"/>
        </w:rPr>
        <w:t>постановлением Администрации города Кургана от 28.10.2021 г. №7607 «</w:t>
      </w:r>
      <w:r w:rsidRPr="00B546F5">
        <w:rPr>
          <w:rFonts w:ascii="PT Astra Serif" w:hAnsi="PT Astra Serif" w:cs="Times New Roman CYR"/>
          <w:sz w:val="28"/>
          <w:szCs w:val="28"/>
        </w:rPr>
        <w:t>Об утверждении Положения о порядке размещения нестационарных объектов по оказанию услуг общественного питания и бытовых услуг на территории города Кургана»</w:t>
      </w:r>
      <w:r w:rsidRPr="00B546F5">
        <w:rPr>
          <w:rFonts w:ascii="PT Astra Serif" w:hAnsi="PT Astra Serif"/>
          <w:sz w:val="28"/>
          <w:szCs w:val="28"/>
        </w:rPr>
        <w:t>.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 w:val="0"/>
          <w:spacing w:val="2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РАЗДЕЛ </w:t>
      </w:r>
      <w:r w:rsidRPr="00B546F5">
        <w:rPr>
          <w:rFonts w:ascii="PT Astra Serif" w:hAnsi="PT Astra Serif"/>
          <w:sz w:val="28"/>
          <w:szCs w:val="28"/>
          <w:lang w:val="en-US"/>
        </w:rPr>
        <w:t>II</w:t>
      </w:r>
      <w:r w:rsidRPr="00B546F5">
        <w:rPr>
          <w:rFonts w:ascii="PT Astra Serif" w:hAnsi="PT Astra Serif"/>
          <w:sz w:val="28"/>
          <w:szCs w:val="28"/>
        </w:rPr>
        <w:t xml:space="preserve">. </w:t>
      </w:r>
      <w:r w:rsidRPr="00B546F5">
        <w:rPr>
          <w:rFonts w:ascii="PT Astra Serif" w:hAnsi="PT Astra Serif" w:cs="Arial"/>
          <w:bCs w:val="0"/>
          <w:spacing w:val="2"/>
          <w:sz w:val="28"/>
          <w:szCs w:val="28"/>
        </w:rPr>
        <w:t>ОСНОВНЫЕ</w:t>
      </w:r>
      <w:r w:rsidRPr="00B546F5">
        <w:rPr>
          <w:rFonts w:ascii="PT Astra Serif" w:hAnsi="PT Astra Serif" w:cs="Arial"/>
          <w:bCs w:val="0"/>
          <w:spacing w:val="2"/>
          <w:sz w:val="28"/>
          <w:szCs w:val="28"/>
          <w:lang w:val="ru-RU"/>
        </w:rPr>
        <w:t xml:space="preserve"> </w:t>
      </w:r>
      <w:r w:rsidRPr="00B546F5">
        <w:rPr>
          <w:rFonts w:ascii="PT Astra Serif" w:hAnsi="PT Astra Serif" w:cs="Arial"/>
          <w:bCs w:val="0"/>
          <w:spacing w:val="2"/>
          <w:sz w:val="28"/>
          <w:szCs w:val="28"/>
        </w:rPr>
        <w:t>РЕКОМЕНДАЦИИ К ВНЕШНЕМУ ВИДУ НЕСТАЦИОНАРНЫХ ТОРГОВЫХ ОБЪЕКТОВ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Конструкция нестационарного объекта должна обеспечивать возможность его оперативного перемещения и транспортировки. 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Главный фасад нестационарного объекта может быть остеклен полностью либо частично, за исключением конструктивных элементов защиты. При остеклении второстепенного (-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ых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) фасадов допускается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фальш-остекление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>. Все остекленные поверхности корпуса могут предусматривать установку защитных систем (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рольставней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или ставней в виде сдвижных панелей). </w:t>
      </w:r>
    </w:p>
    <w:p w:rsidR="007C5ADC" w:rsidRPr="00B546F5" w:rsidRDefault="007C5ADC" w:rsidP="007C5ADC">
      <w:pPr>
        <w:tabs>
          <w:tab w:val="left" w:pos="1276"/>
        </w:tabs>
        <w:overflowPunct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lastRenderedPageBreak/>
        <w:t>Наружная подсветка фасадов и декоративных элементов осуществляется точечными и (или) декоративными светильниками.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заполнения неостекленных поверхностей нестационарных объектов (включая основание) допускается применение композитных материалов,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сэндвич-панелей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с различной текстурной и фактурной поверхностью.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Par82"/>
      <w:bookmarkEnd w:id="0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Архитектурное и конструктивное решение входной группы (групп) нестационарного объекта, имеющего зал обслуживания посетителей, должно соответствовать положениям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СНиП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35-01-2001 «Доступность зданий и сооружений для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маломобильных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групп населения».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Нестационарные объекты оборудуются урнами в соответствии с требованиями, утвержденными правилами благоустройства города Кургана.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В конструкциях нестационарных объектов на главном фасаде допускается устройство фриза.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Нижняя граница фриза должна располагаться на высоте не менее 2,1 метра от пола.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Высота фриза должна составлять: 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для киосков шириной до 3 м (включительно) - 300 мм;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киосков шириной от 3 м и для павильонов - 500 мм. 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защиты от атмосферных осадков конструкция нестационарного объекта может быть оборудована козырьком. </w:t>
      </w:r>
    </w:p>
    <w:p w:rsidR="007C5ADC" w:rsidRPr="00B546F5" w:rsidRDefault="007C5ADC" w:rsidP="007C5ADC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ab/>
        <w:t xml:space="preserve">14. Рекомендации по применению отделочных материалов, варианты архитектурных и колористических решений к нестационарным объектам представлены в приложении 2 к </w:t>
      </w:r>
      <w:r w:rsidRPr="00B546F5">
        <w:rPr>
          <w:rFonts w:ascii="PT Astra Serif" w:hAnsi="PT Astra Serif"/>
          <w:sz w:val="28"/>
          <w:szCs w:val="28"/>
        </w:rPr>
        <w:t xml:space="preserve">Типовым архитектурным решениям внешнего вида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внешнего вида </w:t>
      </w:r>
      <w:r w:rsidRPr="00B546F5">
        <w:rPr>
          <w:rFonts w:ascii="PT Astra Serif" w:hAnsi="PT Astra Serif"/>
          <w:sz w:val="28"/>
          <w:szCs w:val="28"/>
        </w:rPr>
        <w:t>нестационарных объектов по оказанию услуг общественного питания и бытовых услуг на территории города Кургана.</w:t>
      </w:r>
    </w:p>
    <w:p w:rsidR="007C5ADC" w:rsidRPr="00B546F5" w:rsidRDefault="007C5ADC" w:rsidP="007C5ADC">
      <w:pPr>
        <w:tabs>
          <w:tab w:val="left" w:pos="1276"/>
        </w:tabs>
        <w:overflowPunct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15. Информационные конструкции, допустимые к размещению на нестационарном объекте.</w:t>
      </w:r>
    </w:p>
    <w:p w:rsidR="007C5ADC" w:rsidRPr="00B546F5" w:rsidRDefault="007C5ADC" w:rsidP="007C5ADC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В оформлении нестационарного объекта допускается использование вывесок, </w:t>
      </w:r>
      <w:r w:rsidRPr="00B546F5">
        <w:rPr>
          <w:rStyle w:val="2"/>
          <w:rFonts w:ascii="PT Astra Serif" w:hAnsi="PT Astra Serif"/>
          <w:sz w:val="28"/>
          <w:szCs w:val="28"/>
        </w:rPr>
        <w:t>требования к которым на территории города Кургана утверждены постановлением Администрации города Кургана от 11.09.2019 г. №5934 «</w:t>
      </w:r>
      <w:r w:rsidRPr="00B546F5">
        <w:rPr>
          <w:rFonts w:ascii="PT Astra Serif" w:hAnsi="PT Astra Serif"/>
          <w:sz w:val="28"/>
          <w:szCs w:val="28"/>
        </w:rPr>
        <w:t>Об утверждении требований к внешнему виду и местам установки вывесок на территории города Кургана».</w:t>
      </w:r>
    </w:p>
    <w:p w:rsidR="007C5ADC" w:rsidRPr="00B546F5" w:rsidRDefault="007C5ADC" w:rsidP="007C5ADC">
      <w:pPr>
        <w:tabs>
          <w:tab w:val="left" w:pos="0"/>
        </w:tabs>
        <w:jc w:val="both"/>
        <w:rPr>
          <w:rFonts w:ascii="PT Astra Serif" w:eastAsia="Calibri" w:hAnsi="PT Astra Serif"/>
          <w:sz w:val="28"/>
          <w:szCs w:val="28"/>
        </w:rPr>
      </w:pPr>
      <w:r w:rsidRPr="00B546F5">
        <w:rPr>
          <w:rFonts w:ascii="PT Astra Serif" w:eastAsia="Calibri" w:hAnsi="PT Astra Serif"/>
          <w:sz w:val="28"/>
          <w:szCs w:val="28"/>
        </w:rPr>
        <w:tab/>
        <w:t xml:space="preserve">Не допускается размещение рекламы на внешних поверхностях </w:t>
      </w:r>
      <w:r w:rsidRPr="00B546F5">
        <w:rPr>
          <w:rFonts w:ascii="PT Astra Serif" w:hAnsi="PT Astra Serif"/>
          <w:sz w:val="28"/>
          <w:szCs w:val="28"/>
        </w:rPr>
        <w:t>нестационарного объекта</w:t>
      </w:r>
      <w:r w:rsidRPr="00B546F5">
        <w:rPr>
          <w:rFonts w:ascii="PT Astra Serif" w:eastAsia="Calibri" w:hAnsi="PT Astra Serif"/>
          <w:sz w:val="28"/>
          <w:szCs w:val="28"/>
        </w:rPr>
        <w:t>.</w:t>
      </w:r>
    </w:p>
    <w:p w:rsidR="007C5ADC" w:rsidRPr="00B546F5" w:rsidRDefault="007C5ADC" w:rsidP="007C5ADC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ab/>
      </w: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______________________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495"/>
        <w:gridCol w:w="4252"/>
      </w:tblGrid>
      <w:tr w:rsidR="007C5ADC" w:rsidRPr="00B546F5" w:rsidTr="00447FD7">
        <w:tc>
          <w:tcPr>
            <w:tcW w:w="5495" w:type="dxa"/>
          </w:tcPr>
          <w:p w:rsidR="007C5ADC" w:rsidRPr="00B546F5" w:rsidRDefault="007C5ADC" w:rsidP="00447F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к Типовым архитектурным решениям внешнего вида </w:t>
            </w:r>
            <w:r w:rsidRPr="00B546F5">
              <w:rPr>
                <w:rFonts w:ascii="PT Astra Serif" w:hAnsi="PT Astra Serif" w:cs="Arial"/>
                <w:spacing w:val="2"/>
                <w:sz w:val="28"/>
                <w:szCs w:val="28"/>
                <w:shd w:val="clear" w:color="auto" w:fill="FFFFFF"/>
              </w:rPr>
              <w:t xml:space="preserve">внешнего вида </w:t>
            </w:r>
            <w:r w:rsidRPr="00B546F5">
              <w:rPr>
                <w:rFonts w:ascii="PT Astra Serif" w:hAnsi="PT Astra Serif"/>
                <w:sz w:val="28"/>
                <w:szCs w:val="28"/>
              </w:rPr>
              <w:t xml:space="preserve">нестационарных объектов по оказанию услуг общественного питания и бытовых услуг на территории 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города Кургана</w:t>
            </w:r>
          </w:p>
        </w:tc>
      </w:tr>
    </w:tbl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hAnsi="PT Astra Serif" w:cs="PT Astra Serif"/>
          <w:b/>
          <w:sz w:val="28"/>
          <w:szCs w:val="28"/>
        </w:rPr>
      </w:pPr>
      <w:r w:rsidRPr="00B546F5">
        <w:rPr>
          <w:rFonts w:ascii="PT Astra Serif" w:hAnsi="PT Astra Serif" w:cs="PT Astra Serif"/>
          <w:b/>
          <w:sz w:val="28"/>
          <w:szCs w:val="28"/>
        </w:rPr>
        <w:t xml:space="preserve">ГРУППИРОВКА </w:t>
      </w: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546F5">
        <w:rPr>
          <w:rFonts w:ascii="PT Astra Serif" w:hAnsi="PT Astra Serif" w:cs="PT Astra Serif"/>
          <w:b/>
          <w:sz w:val="28"/>
          <w:szCs w:val="28"/>
        </w:rPr>
        <w:t>городских территориальных зон по деловой активности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4236"/>
        <w:gridCol w:w="4236"/>
      </w:tblGrid>
      <w:tr w:rsidR="007C5ADC" w:rsidRPr="00B546F5" w:rsidTr="00447FD7">
        <w:tc>
          <w:tcPr>
            <w:tcW w:w="1099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Граница группы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т.ч. улицы</w:t>
            </w:r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Исторический центр города, ограниченный рекой Тобол, железной дорогой,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Р.Зорге</w:t>
            </w:r>
            <w:proofErr w:type="spellEnd"/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К.Мяготина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56а, 83 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Гагарина (от поворота на аэропорт «Курган»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(от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пересечиния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 ул. Гагарина до пересечения с ул. Гоголя);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Гоголя (от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 – пр. Машиностроителей;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(от пересечения с пр. Машиностроителей до пересечения с ул. Пригородная</w:t>
            </w:r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Часть города, ограниченная рекой Тобол, железной дорогой, от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Р.Зорге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по ул. Т.Невежина (за исключением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К.Мяготина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56а, 83) и от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по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Дзержинского (от пересечения с ул. Ястржембского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 микрорайон Заозерный;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 б. Солнечный;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пр-кт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Конституции</w:t>
            </w:r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Вся остальная территория города, не вошедшая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группы 1 и 2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</w:tbl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_________________________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  <w:sectPr w:rsidR="007C5ADC" w:rsidRPr="00B546F5" w:rsidSect="007C5ADC">
          <w:pgSz w:w="11907" w:h="16840" w:code="9"/>
          <w:pgMar w:top="827" w:right="851" w:bottom="1134" w:left="1418" w:header="503" w:footer="1077" w:gutter="0"/>
          <w:cols w:space="720"/>
          <w:formProt w:val="0"/>
          <w:noEndnote/>
          <w:docGrid w:linePitch="272"/>
        </w:sectPr>
      </w:pPr>
    </w:p>
    <w:tbl>
      <w:tblPr>
        <w:tblW w:w="9747" w:type="dxa"/>
        <w:tblLook w:val="04A0"/>
      </w:tblPr>
      <w:tblGrid>
        <w:gridCol w:w="5495"/>
        <w:gridCol w:w="4252"/>
      </w:tblGrid>
      <w:tr w:rsidR="007C5ADC" w:rsidRPr="00B546F5" w:rsidTr="00447FD7">
        <w:tc>
          <w:tcPr>
            <w:tcW w:w="5495" w:type="dxa"/>
          </w:tcPr>
          <w:p w:rsidR="007C5ADC" w:rsidRPr="00B546F5" w:rsidRDefault="007C5ADC" w:rsidP="00447F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Приложение 2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к Типовым архитектурным решениям внешнего вида </w:t>
            </w:r>
            <w:r w:rsidRPr="00B546F5">
              <w:rPr>
                <w:rFonts w:ascii="PT Astra Serif" w:hAnsi="PT Astra Serif" w:cs="Arial"/>
                <w:spacing w:val="2"/>
                <w:sz w:val="28"/>
                <w:szCs w:val="28"/>
                <w:shd w:val="clear" w:color="auto" w:fill="FFFFFF"/>
              </w:rPr>
              <w:t xml:space="preserve">внешнего вида </w:t>
            </w:r>
            <w:r w:rsidRPr="00B546F5">
              <w:rPr>
                <w:rFonts w:ascii="PT Astra Serif" w:hAnsi="PT Astra Serif"/>
                <w:sz w:val="28"/>
                <w:szCs w:val="28"/>
              </w:rPr>
              <w:t>нестационарных объектов по оказанию услуг общественного питания и бытовых услуг на территории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 города Кургана</w:t>
            </w:r>
          </w:p>
        </w:tc>
      </w:tr>
    </w:tbl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ТИПОВЫЕ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архитектурные и колористические решения внешнего вида </w:t>
      </w:r>
      <w:r w:rsidRPr="00B546F5">
        <w:rPr>
          <w:rFonts w:ascii="PT Astra Serif" w:hAnsi="PT Astra Serif"/>
          <w:b/>
          <w:sz w:val="28"/>
          <w:szCs w:val="28"/>
        </w:rPr>
        <w:t xml:space="preserve">нестационарных объектов по оказанию услуг общественного питания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>и бытовых услуг на территории города Кургана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КИОСК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(ремонт обуви и кожгалантереи, изготовление ключей, заточка ножей)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Группа 1 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3057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киоска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киоска.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lastRenderedPageBreak/>
        <w:t>Декоративные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элементы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обрезной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доски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толщиной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менее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30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защитным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дерева.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7026,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КИОСК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(ремонт обуви и кожгалантереи, изготовление ключей, заточка ножей)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Группы 2, 3 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306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Отделка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покраска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стен,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before="3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профиля.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двери</w:t>
      </w:r>
      <w:r w:rsidRPr="00B546F5">
        <w:rPr>
          <w:rFonts w:ascii="PT Astra Serif" w:hAnsi="PT Astra Serif"/>
          <w:color w:val="151616"/>
          <w:spacing w:val="6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должен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соответствовать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цвету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Со стороны торгового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lastRenderedPageBreak/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торгового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торгового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фронта.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дополнительной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подложки, буквы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(необязательно).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 - из композитных материалов высотой 0,5 м, цвет - RAL 7016, RAL 7026,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ПАВИЛЬОН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по оказанию бытовых услуг (</w:t>
      </w:r>
      <w:proofErr w:type="spellStart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фотоуслуги</w:t>
      </w:r>
      <w:proofErr w:type="spellEnd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, услуги проката, ремонт и обслуживание автомобилей)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MT"/>
          <w:color w:val="000000"/>
          <w:sz w:val="28"/>
          <w:szCs w:val="28"/>
        </w:rPr>
      </w:pPr>
      <w:r w:rsidRPr="00B546F5">
        <w:rPr>
          <w:rFonts w:ascii="PT Astra Serif" w:hAnsi="PT Astra Serif" w:cs="TimesNewRomanPSMT"/>
          <w:color w:val="000000"/>
          <w:sz w:val="28"/>
          <w:szCs w:val="28"/>
        </w:rPr>
        <w:t>Группа 1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2209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before="8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павильона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before="2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Дверь для служебного входа размещается на одном из торцевых или заднем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фасадах,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исходя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расположения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Дверь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входная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покупателей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главном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(или)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торцевом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фасаде.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павильона.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Декоративные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элементы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обрезной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доски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толщиной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менее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30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защитным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дерева.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lastRenderedPageBreak/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7026,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ПАВИЛЬОН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по оказанию бытовых услуг (</w:t>
      </w:r>
      <w:proofErr w:type="spellStart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фотоуслуги</w:t>
      </w:r>
      <w:proofErr w:type="spellEnd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, услуги проката, ремонт и обслуживание автомобилей)</w:t>
      </w:r>
    </w:p>
    <w:p w:rsidR="007C5ADC" w:rsidRPr="00B546F5" w:rsidRDefault="007C5ADC" w:rsidP="007C5ADC">
      <w:pPr>
        <w:rPr>
          <w:rFonts w:ascii="PT Astra Serif" w:hAnsi="PT Astra Serif" w:cs="TimesNewRomanPSMT"/>
          <w:color w:val="000000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 w:cs="TimesNewRomanPSMT"/>
          <w:color w:val="000000"/>
          <w:sz w:val="28"/>
          <w:szCs w:val="28"/>
        </w:rPr>
        <w:t>Группы 2, 3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2171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павильона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серого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(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Дверь для служебного входа размещается на одном из торцевых или заднем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фасадах,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исходя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расположения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Дверь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входная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покупателей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главном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(или)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торцевом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фасаде.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павильона.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lastRenderedPageBreak/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7026,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павильона.</w:t>
      </w: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</w:p>
    <w:p w:rsidR="005F082B" w:rsidRPr="00B546F5" w:rsidRDefault="005F082B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 xml:space="preserve">ПАВИЛЬОНЫ, КИОСКИ 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по оказанию услуг общественного питания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(кафе, закусочные, объекты быстрого питания) и  ритуальных услуг</w:t>
      </w: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A47C4A" w:rsidRPr="00B546F5" w:rsidRDefault="00A47C4A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  <w:r w:rsidRPr="00B546F5">
        <w:rPr>
          <w:rFonts w:ascii="PT Astra Serif" w:hAnsi="PT Astra Serif" w:cs="TimesNewRomanPSMT"/>
          <w:sz w:val="28"/>
          <w:szCs w:val="28"/>
        </w:rPr>
        <w:t>Группы 1, 2, 3</w:t>
      </w:r>
    </w:p>
    <w:p w:rsidR="00A47C4A" w:rsidRPr="00B546F5" w:rsidRDefault="00A47C4A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</w:p>
    <w:p w:rsidR="00AC7E8A" w:rsidRDefault="005F082B" w:rsidP="005F082B">
      <w:pPr>
        <w:ind w:firstLine="708"/>
        <w:jc w:val="both"/>
      </w:pPr>
      <w:r w:rsidRPr="00B546F5">
        <w:rPr>
          <w:rFonts w:ascii="PT Astra Serif" w:hAnsi="PT Astra Serif" w:cs="ArialMT"/>
          <w:sz w:val="28"/>
          <w:szCs w:val="28"/>
        </w:rPr>
        <w:t>По индивидуальному проекту архитектурного решения фасадов нестационарного объекта по оказанию услуг, согласованному с Комиссией.</w:t>
      </w:r>
    </w:p>
    <w:sectPr w:rsidR="00AC7E8A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C56"/>
    <w:multiLevelType w:val="hybridMultilevel"/>
    <w:tmpl w:val="DBE43F64"/>
    <w:lvl w:ilvl="0" w:tplc="94306096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82B"/>
    <w:rsid w:val="000E4E49"/>
    <w:rsid w:val="005F082B"/>
    <w:rsid w:val="007C5ADC"/>
    <w:rsid w:val="008602D3"/>
    <w:rsid w:val="00A47C4A"/>
    <w:rsid w:val="00AC7E8A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ADC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Body Text"/>
    <w:basedOn w:val="a"/>
    <w:link w:val="a4"/>
    <w:rsid w:val="007C5ADC"/>
    <w:pPr>
      <w:spacing w:after="120"/>
    </w:pPr>
  </w:style>
  <w:style w:type="character" w:customStyle="1" w:styleId="a4">
    <w:name w:val="Основной текст Знак"/>
    <w:basedOn w:val="a0"/>
    <w:link w:val="a3"/>
    <w:rsid w:val="007C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7C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Основной текст (2)"/>
    <w:rsid w:val="007C5A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3">
    <w:name w:val="Heading 3"/>
    <w:basedOn w:val="a"/>
    <w:uiPriority w:val="1"/>
    <w:qFormat/>
    <w:rsid w:val="007C5ADC"/>
    <w:pPr>
      <w:widowControl w:val="0"/>
      <w:overflowPunct/>
      <w:adjustRightInd/>
      <w:spacing w:before="133"/>
      <w:ind w:left="629"/>
      <w:textAlignment w:val="auto"/>
      <w:outlineLvl w:val="3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5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343553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86367/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mobileonline.garant.ru/document/redirect/10164072/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vodyannikova</cp:lastModifiedBy>
  <cp:revision>4</cp:revision>
  <dcterms:created xsi:type="dcterms:W3CDTF">2022-04-29T10:30:00Z</dcterms:created>
  <dcterms:modified xsi:type="dcterms:W3CDTF">2024-04-26T13:54:00Z</dcterms:modified>
</cp:coreProperties>
</file>